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ab/>
      </w:r>
    </w:p>
    <w:tbl>
      <w:tblPr>
        <w:tblStyle w:val="2"/>
        <w:tblW w:w="10161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25"/>
        <w:gridCol w:w="2355"/>
        <w:gridCol w:w="975"/>
        <w:gridCol w:w="1290"/>
        <w:gridCol w:w="279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名称</w:t>
            </w:r>
          </w:p>
        </w:tc>
        <w:tc>
          <w:tcPr>
            <w:tcW w:w="2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购置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数量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交货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日期</w:t>
            </w:r>
          </w:p>
        </w:tc>
        <w:tc>
          <w:tcPr>
            <w:tcW w:w="27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用 途</w:t>
            </w:r>
          </w:p>
        </w:tc>
        <w:tc>
          <w:tcPr>
            <w:tcW w:w="893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7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智能电子药盒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外部尺寸(mm)：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长*宽*高为188*139*68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或不低于175*149*74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345个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2024.8.29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1、提醒患者服药、复诊以及随访确认等功能；2、服药等信息上传到结核病患者督导管理系统</w:t>
            </w:r>
          </w:p>
        </w:tc>
        <w:tc>
          <w:tcPr>
            <w:tcW w:w="8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161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计划资金合计：8万元</w:t>
            </w:r>
            <w:bookmarkStart w:id="0" w:name="_GoBack"/>
            <w:bookmarkEnd w:id="0"/>
          </w:p>
        </w:tc>
      </w:tr>
    </w:tbl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  <w:r>
        <w:rPr>
          <w:rFonts w:hint="eastAsia" w:hAnsi="宋体" w:eastAsia="仿宋"/>
          <w:b/>
          <w:bCs/>
          <w:sz w:val="30"/>
          <w:szCs w:val="30"/>
        </w:rPr>
        <w:tab/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智能电子药盒</w:t>
      </w:r>
      <w:r>
        <w:rPr>
          <w:rFonts w:hint="eastAsia" w:hAnsi="宋体" w:eastAsia="仿宋"/>
          <w:b/>
          <w:bCs/>
          <w:sz w:val="30"/>
          <w:szCs w:val="30"/>
          <w:lang w:val="en-US" w:eastAsia="zh-CN"/>
        </w:rPr>
        <w:t>技术要求说明：</w:t>
      </w:r>
      <w:r>
        <w:rPr>
          <w:rFonts w:hint="eastAsia" w:hAnsi="宋体" w:eastAsia="仿宋"/>
          <w:b/>
          <w:bCs/>
          <w:sz w:val="30"/>
          <w:szCs w:val="30"/>
        </w:rPr>
        <w:tab/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一、产品功能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.所投药盒需与江西省疾病预防控制中心使用的“结核病患者督导管理平台”进行数据对接，实现数据实时同步；（须现场进行药盒和系统对接及操作演示，或提供与该结核病患者管理系统进行数据对接的已生效协议；如演示操作不成功或不能提供有效的数据对接协议，则此条视为不满足）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2.应支持存储1个月量的抗结核药品；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3.外壳采用食品级材料（PP）；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4.药盒应具有密封防潮设计和防滑设计；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5.应自带通讯功能，不依赖蓝牙、wifi等环境，可与智能手机绑定，也可独立使用；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6.应具备灯光、声音等多种提醒方式；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7.应具备设置音量大小的功能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8.应具备提醒电量、信号等药盒状态信息；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9.应具备低电量提醒；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10.应具备复诊提醒功能；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11.应具备随访确认功能；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12.应支持通过“结核病患者督导管理平台”远程设定服药提醒时间；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13.应支持单次服药重复提醒功能；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14.应支持系统自动上传药盒开关盒记录；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15.应支持药盒剩余电量实时同步到用户管理系统；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16.应支持药盒当前通讯信号状态实时同步到用户管理系统；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17.应支持药盒最近一次通讯时间实时同步到用户管理系统；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18.应具备硬件重启或复位的功能键及相应功能；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19.控制单元应采用独立封装，便于拆卸和重复利用。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二、技术参数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1.电源适配器：输入电压100-240V；输出电压电流DC5V/2A。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2.电池续航：药盒电池续航不少于7天；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3.工作环境温度：-20℃至50℃；</w:t>
      </w:r>
    </w:p>
    <w:p>
      <w:pPr>
        <w:pStyle w:val="4"/>
        <w:rPr>
          <w:rFonts w:hint="eastAsia" w:hAnsi="宋体" w:eastAsia="仿宋"/>
          <w:b/>
          <w:bCs/>
          <w:sz w:val="30"/>
          <w:szCs w:val="30"/>
        </w:rPr>
      </w:pPr>
      <w:r>
        <w:rPr>
          <w:rFonts w:hint="eastAsia" w:hAnsi="宋体" w:eastAsia="仿宋"/>
          <w:b/>
          <w:bCs/>
          <w:sz w:val="30"/>
          <w:szCs w:val="30"/>
        </w:rPr>
        <w:t>4.内置GSM卡，采用GSM通信网络。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WYwN2Q4NDExMGJkYTQ2ZTBkNTk2ZWFiYTA1MDMifQ=="/>
  </w:docVars>
  <w:rsids>
    <w:rsidRoot w:val="6C4D33EC"/>
    <w:rsid w:val="07700EC8"/>
    <w:rsid w:val="0D050D21"/>
    <w:rsid w:val="359C5B1B"/>
    <w:rsid w:val="36515597"/>
    <w:rsid w:val="6C4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eastAsia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2024-04-07T07:22:00Z</dcterms:created>
  <dc:creator>苟忠林</dc:creator>
  <cp:lastModifiedBy>苟忠林</cp:lastModifiedBy>
  <dcterms:modified xsi:type="dcterms:W3CDTF">2024-04-07T07:23:35Z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E08344F824E44BAC9E19B07519FFBEA0_11</vt:lpwstr>
  </property>
</Properties>
</file>