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4"/>
        <w:gridCol w:w="1184"/>
        <w:gridCol w:w="848"/>
        <w:gridCol w:w="5816"/>
        <w:gridCol w:w="1352"/>
        <w:gridCol w:w="928"/>
        <w:gridCol w:w="832"/>
      </w:tblGrid>
      <w:tr w14:paraId="4012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购置数量</w:t>
            </w:r>
          </w:p>
        </w:tc>
        <w:tc>
          <w:tcPr>
            <w:tcW w:w="5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交货日期（有效期）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途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BA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2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5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E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4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8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6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4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7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F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铁蛋白检测试剂盒（磁微粒发光）内含定标液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54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能适配安图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LUMO Plus2000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化学发光仪</w:t>
            </w: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中标后提供以下参数指标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）   </w:t>
            </w:r>
            <w:r>
              <w:rPr>
                <w:rStyle w:val="5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5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1.分析灵敏度</w:t>
            </w:r>
          </w:p>
          <w:p w14:paraId="50A38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最低检测限≤5 μg/L，确保早期缺铁性贫血的筛查能力。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2.精密度：批内 CV≤5%，批间相对极差≤10%，符合《体外诊断试剂分析性能评估指导原则》要求。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3.准确度：与标准品或参考方法的相对偏差≤±10%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4.抗干扰能力：需通过溶血（Hb≤5 g/L）、黄疸（TBil≤342 μmol/L）、乳糜血（TG≤15 mmol/L）等干扰试验，结果偏差≤±10%   （</w:t>
            </w: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属于第三类医疗器械投标时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提供医疗注册证）                                                      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EE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28D2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羟维生素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检测试剂盒（磁微粒发光）内含定标液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人份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7F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适配安图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LUMO Plus2000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化学发光仪</w:t>
            </w: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中标后提供以下参数指标检测报告备查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）      </w:t>
            </w:r>
          </w:p>
          <w:p w14:paraId="03020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1.检测范围与灵敏度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线性范围需覆盖3-100ng/mL，并能准确检测＞100ng/mL 的异常样本（如维生素 D 中毒患者）。最低检测限（LoD）≤1ng/mL，精密度要求提升至批内 CV≤4%、批间 CV≤8%**，显著高于行业标准（CLSI EP15-A3 要求批内 CV≤10%）。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50%。</w:t>
            </w:r>
            <w:r>
              <w:rPr>
                <w:rStyle w:val="6"/>
                <w:color w:val="auto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6"/>
                <w:rFonts w:hint="eastAsia"/>
                <w:color w:val="auto"/>
                <w:sz w:val="28"/>
                <w:szCs w:val="28"/>
                <w:lang w:val="en-US" w:eastAsia="zh-CN" w:bidi="ar"/>
              </w:rPr>
              <w:t>属于第三类医疗器械投标时</w:t>
            </w:r>
            <w:r>
              <w:rPr>
                <w:rStyle w:val="6"/>
                <w:color w:val="auto"/>
                <w:sz w:val="28"/>
                <w:szCs w:val="28"/>
                <w:lang w:val="en-US" w:eastAsia="zh-CN" w:bidi="ar"/>
              </w:rPr>
              <w:t>提供医疗注册证）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B2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2887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内分泌质控品Ⅱ含血清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羟基维生素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3*3ml（水平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和水平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B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default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适配安图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LUMO Plus2000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化学发光仪</w:t>
            </w: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</w:t>
            </w:r>
          </w:p>
          <w:p w14:paraId="4E8F76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1.检测范围与灵敏度</w:t>
            </w:r>
          </w:p>
          <w:p w14:paraId="0B2274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线性范围需覆盖0.5-200mg/L，并能准确检测＞200mg/L 的异常样本（如严重感染患者）。最低检测限（LoD）≤0.5mg/L，精密度要求提升至批内 CV≤4%、批间 CV≤8%，2.抗干扰能力强化</w:t>
            </w:r>
          </w:p>
          <w:p w14:paraId="52F6FF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50%。</w:t>
            </w:r>
          </w:p>
          <w:p w14:paraId="4A30CE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4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0708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反应蛋白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(CRP)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测定试剂盒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测试数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53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开放通道</w:t>
            </w:r>
          </w:p>
          <w:p w14:paraId="57FF1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迈瑞全自动生化分析仪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</w:t>
            </w:r>
          </w:p>
          <w:p w14:paraId="49901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1.检测范围与灵敏度</w:t>
            </w:r>
          </w:p>
          <w:p w14:paraId="41C919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线性范围需覆盖0.08-355.95mg/L，最低检测限（LoD）≤0.057mg/L，精密度要求提升至批内 CV≤3%、批间 CV≤5%，</w:t>
            </w:r>
          </w:p>
          <w:p w14:paraId="07B64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5E480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DF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44E8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C反应蛋白定标液（定标液必须与试剂相匹配）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低值和高值各一支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E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适配迈瑞全自动生化分析仪使用</w:t>
            </w:r>
          </w:p>
          <w:p w14:paraId="62B149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1.浓度覆盖</w:t>
            </w:r>
          </w:p>
          <w:p w14:paraId="0239E3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定标液浓度范围需与试剂检测范围（0.08-355.95mg/L）完全匹配。</w:t>
            </w:r>
          </w:p>
          <w:p w14:paraId="3868E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0C3406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E8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2EB7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C反应蛋白质控品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和水平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5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适配迈瑞全自动生化分析仪使用</w:t>
            </w:r>
          </w:p>
          <w:p w14:paraId="5D817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1.浓度覆盖</w:t>
            </w:r>
          </w:p>
          <w:p w14:paraId="137F1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质控品浓度需覆盖迈瑞试剂检测范围（0.08-355.95mg/L）的关键节点，低水平（1.5mg/L）、中水平（50mg/L）、高水平（200mg/L）。</w:t>
            </w:r>
          </w:p>
          <w:p w14:paraId="37705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3353E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6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37FD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总胆固醇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(TC)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200测试数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CE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开放通道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迈瑞全自动生化分析仪使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用（</w:t>
            </w: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属于第二类医疗器械投标时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提供医疗注册证）</w:t>
            </w:r>
          </w:p>
          <w:p w14:paraId="762D4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1.浓度覆盖</w:t>
            </w:r>
          </w:p>
          <w:p w14:paraId="0FE87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定标液浓度范围需与试剂检测范围（0-15.5mmol/L）完全匹配，</w:t>
            </w:r>
          </w:p>
          <w:p w14:paraId="2C903D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7D841A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50%。</w:t>
            </w:r>
          </w:p>
          <w:p w14:paraId="08FEB2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6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58B5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甘油三酯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(TG)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200测试数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8D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开放通道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迈瑞全自动生化分析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仪使用（</w:t>
            </w: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属于第二类医疗器械投标时</w:t>
            </w:r>
            <w:r>
              <w:rPr>
                <w:rStyle w:val="6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提供医疗注册证）</w:t>
            </w:r>
          </w:p>
          <w:p w14:paraId="511D95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1.浓度覆盖</w:t>
            </w:r>
          </w:p>
          <w:p w14:paraId="7CE85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试剂检测范围需与迈瑞试剂完全匹配（0-15.5mmol/L）</w:t>
            </w:r>
          </w:p>
          <w:p w14:paraId="28FFC2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1CA04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9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36B5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高密度脂蛋白胆固醇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(HDL-C)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测试数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7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开放通道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迈瑞全自动生化分析仪使用</w:t>
            </w:r>
          </w:p>
          <w:p w14:paraId="6F12F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1.浓度覆盖</w:t>
            </w:r>
          </w:p>
          <w:p w14:paraId="7AA8D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试剂检测范围需与迈瑞试剂完全匹配（0.05-6.0mmol/L）。</w:t>
            </w:r>
          </w:p>
          <w:p w14:paraId="528815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79227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CC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6268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低密度脂蛋白胆固醇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(LDL-C)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205测试数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C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开放通道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迈瑞全自动生化分析仪使用</w:t>
            </w:r>
          </w:p>
          <w:p w14:paraId="450FD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1.浓度覆盖</w:t>
            </w:r>
          </w:p>
          <w:p w14:paraId="7E2F4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试剂检测范围需与迈瑞试剂完全匹配（0-12.93mmol/L）。</w:t>
            </w:r>
          </w:p>
          <w:p w14:paraId="025C8C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6C1DE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9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检测血样本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0E58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脂类校准品（校准品必须与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TG\TC\HDL-C\LDL-CA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同一个个厂家）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5*1ml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E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开放通道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迈瑞全自动生化分析仪使用</w:t>
            </w:r>
          </w:p>
          <w:p w14:paraId="28AC7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1.浓度覆盖</w:t>
            </w:r>
          </w:p>
          <w:p w14:paraId="16529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试剂检测范围需与迈瑞试剂完全匹配（0-12.93mmol/L）。</w:t>
            </w:r>
          </w:p>
          <w:p w14:paraId="4F6515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07547B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溶血（Hb≤15g/L）、黄疸（TBil≤3420μmol/L）、乳糜血（TG≤16.95mmol/L）等干扰试验结果偏差需≤±5%，较常规要求（±10%）提升 50%。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1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检测耗材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6382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全自动免疫检验系统用底物液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110ml×1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CE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安图LUMO Plus2000化学发光仪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</w:t>
            </w:r>
          </w:p>
          <w:p w14:paraId="638D1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1.灵敏度</w:t>
            </w:r>
          </w:p>
          <w:p w14:paraId="09E62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底物液能检出不大于10⁻¹⁶ mol的碱性磷酸酶</w:t>
            </w:r>
          </w:p>
          <w:p w14:paraId="6FDF5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233FDD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溶血（Hb≤4g/L）、黄疸（TBil≤3420μmol/L）、乳糜血（TG≤16.95mmol/L）等干扰试验结果偏差需≤±5%，较常规要求（±10%）提升 50%。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C4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检测耗材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478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样本稀释液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250ml×4瓶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D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安图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LUMO Plus2000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化学发光仪使用</w:t>
            </w:r>
          </w:p>
          <w:p w14:paraId="115CC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1.线性范围与灵敏度</w:t>
            </w:r>
          </w:p>
          <w:p w14:paraId="1A6369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线性范围需覆盖临床常见区间（如 0.2-200mg/L），灵敏度需满足检测下限≤0.1mg/L，</w:t>
            </w:r>
          </w:p>
          <w:p w14:paraId="701683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2.抗干扰能力强化</w:t>
            </w:r>
          </w:p>
          <w:p w14:paraId="56B34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溶血（Hb≤4g/L）、黄疸（TBil≤3420μmol/L）、乳糜血（TG≤16.95mmol/L）等干扰试验结果偏差需≤±5%，较常规要求（±10%）提升 50%。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5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检测耗材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3239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500ml×4瓶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8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安图LUMO Plus2000化学发光仪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</w:t>
            </w:r>
          </w:p>
          <w:p w14:paraId="2BFDD1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1.清洗效率与携带率</w:t>
            </w:r>
          </w:p>
          <w:p w14:paraId="336B74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对高浓度样本（如 HBsAg≥250IU/mL、Anti-HIV≥100COI）的携带率需≤0.1%，清洗后比色杯空白吸光度需≤0.05（340nm 波长），确保无残留干扰后续检测。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E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检测耗材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23E5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系统清洗液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10ml×6瓶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9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安图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LUMO Plus2000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化学发光仪使用</w:t>
            </w:r>
          </w:p>
          <w:p w14:paraId="6FDF3A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1.清洗效率与携带率</w:t>
            </w:r>
          </w:p>
          <w:p w14:paraId="73993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对高浓度样本（如 HBsAg≥250IU/mL、Anti-HIV≥100COI）的携带率需≤0.1%。清洗后比色杯空白吸光度需≤0.05（340nm 波长），确保无残留干扰后续检测。单次清洗时间≤60 秒，较传统手动清洗效率提升 80%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F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检测耗材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15D8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11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安图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LUMO Plus2000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化学发光仪使用</w:t>
            </w:r>
          </w:p>
          <w:p w14:paraId="38EA92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1.抗残留与洁净度</w:t>
            </w:r>
          </w:p>
          <w:p w14:paraId="3446E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杯壁亲水性：接触角≤30°，样本残留量≤0.5μL。</w:t>
            </w:r>
          </w:p>
          <w:p w14:paraId="530B7D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洁净度：无可见颗粒物，无酶类污染物，无致热源。</w:t>
            </w:r>
          </w:p>
          <w:p w14:paraId="264C8E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耐化学性</w:t>
            </w:r>
          </w:p>
          <w:p w14:paraId="74FC4C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耐受常见样本及试剂（血清、EDTA 血浆、发光底物液、系统清洗液），25℃浸泡 72 小时无变形、无溶出物（浸泡液紫外吸光度变化≤0.005，340nm）。</w:t>
            </w:r>
          </w:p>
          <w:p w14:paraId="114E8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耐温范围：-20℃至 50℃（覆盖样本冷藏、仪器孵育温度），无开裂或尺寸变化（变化率≤0.5%）。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A5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检测耗材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636A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反应杯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1000支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安图</w:t>
            </w: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LUMO Plus2000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化学发光仪使用</w:t>
            </w:r>
          </w:p>
          <w:p w14:paraId="0F6B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1.透光率</w:t>
            </w:r>
          </w:p>
          <w:p w14:paraId="78738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在化学发光检测关键波长 340-630nm 范围内，透光率≥95%</w:t>
            </w:r>
          </w:p>
          <w:p w14:paraId="1699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2.杯壁亲水性</w:t>
            </w:r>
          </w:p>
          <w:p w14:paraId="6EB53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接触角≤30°，样本残留量≤0.5μL。</w:t>
            </w:r>
          </w:p>
          <w:p w14:paraId="33DB6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洁净度：无可见颗粒物，无酶类污染物，无致热源。</w:t>
            </w:r>
          </w:p>
          <w:p w14:paraId="6CCC8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3.耐化学性</w:t>
            </w:r>
          </w:p>
          <w:p w14:paraId="1BBF5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耐受常见样本及试剂（血清、EDTA 血浆、发光底物液、系统清洗液），25℃浸泡 72 小时无变形、无溶出物（浸泡液紫外吸光度变化≤0.005，340nm）。</w:t>
            </w:r>
          </w:p>
          <w:p w14:paraId="2DDB9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耐温范围：-20℃至 50℃（覆盖样本冷藏、仪器孵育温度），无开裂或尺寸变化（变化率≤0.5%）。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7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检测耗材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 w14:paraId="5280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生化分析仪用清洗液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2L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5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C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eastAsia="宋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迈瑞全自动生化分析仪使用</w:t>
            </w:r>
            <w:r>
              <w:rPr>
                <w:rStyle w:val="4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</w:t>
            </w:r>
          </w:p>
          <w:p w14:paraId="7A50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蛋白质清除率</w:t>
            </w:r>
          </w:p>
          <w:p w14:paraId="0C8C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对牛血清白蛋白（BSA）的清除率≥99.9%。</w:t>
            </w:r>
          </w:p>
          <w:p w14:paraId="49F7D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抗残留性能</w:t>
            </w:r>
          </w:p>
          <w:p w14:paraId="51408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样本残留量≤0.5μL，杯壁接触角≤30°。</w:t>
            </w:r>
          </w:p>
          <w:p w14:paraId="201B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荧光干扰：激发波长 360nm 时，荧光强度≤0.01RFU。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DC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尽快供货（有效期不低于10个月）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检测耗材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</w:tbl>
    <w:p w14:paraId="6EC3209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96567"/>
    <w:rsid w:val="00467BB5"/>
    <w:rsid w:val="009F13E7"/>
    <w:rsid w:val="027A3A88"/>
    <w:rsid w:val="07700EC8"/>
    <w:rsid w:val="0D050D21"/>
    <w:rsid w:val="1AF743FE"/>
    <w:rsid w:val="264B4443"/>
    <w:rsid w:val="2C5D0837"/>
    <w:rsid w:val="33F82A84"/>
    <w:rsid w:val="34496567"/>
    <w:rsid w:val="357F692A"/>
    <w:rsid w:val="359C5B1B"/>
    <w:rsid w:val="36515597"/>
    <w:rsid w:val="3C84406A"/>
    <w:rsid w:val="47045EF8"/>
    <w:rsid w:val="497D297D"/>
    <w:rsid w:val="4AC1186B"/>
    <w:rsid w:val="4CB36D93"/>
    <w:rsid w:val="518936E5"/>
    <w:rsid w:val="545015FA"/>
    <w:rsid w:val="592D544B"/>
    <w:rsid w:val="62C65814"/>
    <w:rsid w:val="63D22530"/>
    <w:rsid w:val="67F80AD8"/>
    <w:rsid w:val="6C1013A1"/>
    <w:rsid w:val="7B0D2E6F"/>
    <w:rsid w:val="7B553B80"/>
    <w:rsid w:val="7D154074"/>
    <w:rsid w:val="7E0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5"/>
      <w:szCs w:val="25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91"/>
    <w:basedOn w:val="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2025-09-26T07:46:00Z</dcterms:created>
  <dc:creator>苟忠林</dc:creator>
  <cp:lastModifiedBy>苟忠林</cp:lastModifiedBy>
  <dcterms:modified xsi:type="dcterms:W3CDTF">2025-09-26T07:49:30Z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9A1F6EACD00C4D3AAD389A89678C8860_11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